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1D74E8" w:rsidRDefault="001D74E8"/>
    <w:p w:rsidR="001D74E8" w:rsidRDefault="001D74E8"/>
    <w:p w:rsidR="009E63B7" w:rsidRDefault="009E63B7"/>
    <w:p w:rsidR="009E63B7" w:rsidRDefault="00F9250F" w:rsidP="009E63B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Choice #1</w:t>
      </w:r>
    </w:p>
    <w:p w:rsidR="009E63B7" w:rsidRDefault="00F9250F" w:rsidP="009E63B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9E63B7" w:rsidRDefault="00F9250F" w:rsidP="009E63B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9E63B7" w:rsidRDefault="00F9250F" w:rsidP="009E63B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9E63B7" w:rsidRDefault="009E63B7" w:rsidP="009E63B7">
      <w:pPr>
        <w:jc w:val="center"/>
      </w:pPr>
    </w:p>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9E63B7" w:rsidRDefault="009E63B7"/>
    <w:p w:rsidR="009E63B7" w:rsidRDefault="00F9250F" w:rsidP="009E63B7">
      <w:pPr>
        <w:jc w:val="center"/>
      </w:pPr>
      <w:r w:rsidRPr="009E63B7">
        <w:rPr>
          <w:rFonts w:ascii="Times New Roman" w:hAnsi="Times New Roman" w:cs="Times New Roman"/>
          <w:sz w:val="24"/>
          <w:szCs w:val="24"/>
        </w:rPr>
        <w:lastRenderedPageBreak/>
        <w:t>Choice #1</w:t>
      </w:r>
    </w:p>
    <w:p w:rsidR="00F7133F" w:rsidRPr="009E63B7" w:rsidRDefault="00F9250F" w:rsidP="009E63B7">
      <w:pPr>
        <w:spacing w:after="0" w:line="480" w:lineRule="auto"/>
        <w:ind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 xml:space="preserve">Among the </w:t>
      </w:r>
      <w:r w:rsidR="003D0470">
        <w:rPr>
          <w:rFonts w:ascii="Times New Roman" w:hAnsi="Times New Roman" w:cs="Times New Roman"/>
          <w:color w:val="000000" w:themeColor="text1"/>
          <w:sz w:val="24"/>
          <w:szCs w:val="24"/>
        </w:rPr>
        <w:t xml:space="preserve">all the </w:t>
      </w:r>
      <w:r w:rsidRPr="009E63B7">
        <w:rPr>
          <w:rFonts w:ascii="Times New Roman" w:hAnsi="Times New Roman" w:cs="Times New Roman"/>
          <w:color w:val="000000" w:themeColor="text1"/>
          <w:sz w:val="24"/>
          <w:szCs w:val="24"/>
        </w:rPr>
        <w:t xml:space="preserve">body organs, skin </w:t>
      </w:r>
      <w:r w:rsidR="000640B3">
        <w:rPr>
          <w:rFonts w:ascii="Times New Roman" w:hAnsi="Times New Roman" w:cs="Times New Roman"/>
          <w:color w:val="000000" w:themeColor="text1"/>
          <w:sz w:val="24"/>
          <w:szCs w:val="24"/>
        </w:rPr>
        <w:t xml:space="preserve">is the one that </w:t>
      </w:r>
      <w:r w:rsidRPr="009E63B7">
        <w:rPr>
          <w:rFonts w:ascii="Times New Roman" w:hAnsi="Times New Roman" w:cs="Times New Roman"/>
          <w:color w:val="000000" w:themeColor="text1"/>
          <w:sz w:val="24"/>
          <w:szCs w:val="24"/>
        </w:rPr>
        <w:t>interacts with the external environment. The function of the skin is to ensure that the internal organs are protected from the external harm, thermoregulation is enhanced, fluids and electrolytes, and balance and physical injury are prevented. In the process of interacting with the external environment, the skin comes into contact with harmful elements such as bacteria, viruses, fungi, chemicals, and parasites, which causes diseases and injuries. The presence of rashes is a complication that occurs following the contact of the skin and other factors in the environment</w:t>
      </w:r>
      <w:r w:rsidR="00E34006" w:rsidRPr="009E63B7">
        <w:rPr>
          <w:rFonts w:ascii="Times New Roman" w:hAnsi="Times New Roman" w:cs="Times New Roman"/>
          <w:color w:val="000000" w:themeColor="text1"/>
          <w:sz w:val="24"/>
          <w:szCs w:val="24"/>
        </w:rPr>
        <w:t xml:space="preserve"> (</w:t>
      </w:r>
      <w:r w:rsidR="00E34006" w:rsidRPr="009E63B7">
        <w:rPr>
          <w:rFonts w:ascii="Times New Roman" w:hAnsi="Times New Roman" w:cs="Times New Roman"/>
          <w:color w:val="000000" w:themeColor="text1"/>
          <w:sz w:val="24"/>
          <w:szCs w:val="24"/>
          <w:shd w:val="clear" w:color="auto" w:fill="FFFFFF"/>
        </w:rPr>
        <w:t>Kapur, Watson &amp;Carr, 2018)</w:t>
      </w:r>
      <w:r w:rsidRPr="009E63B7">
        <w:rPr>
          <w:rFonts w:ascii="Times New Roman" w:hAnsi="Times New Roman" w:cs="Times New Roman"/>
          <w:color w:val="000000" w:themeColor="text1"/>
          <w:sz w:val="24"/>
          <w:szCs w:val="24"/>
        </w:rPr>
        <w:t xml:space="preserve">. Skin rash can be diagnosed and treated based on the history provided by the patient. </w:t>
      </w:r>
    </w:p>
    <w:p w:rsidR="00E34006" w:rsidRPr="009E63B7" w:rsidRDefault="00F9250F" w:rsidP="009E63B7">
      <w:pPr>
        <w:spacing w:after="0" w:line="480" w:lineRule="auto"/>
        <w:ind w:firstLine="851"/>
        <w:jc w:val="center"/>
        <w:rPr>
          <w:rFonts w:ascii="Times New Roman" w:hAnsi="Times New Roman" w:cs="Times New Roman"/>
          <w:b/>
          <w:bCs/>
          <w:color w:val="000000" w:themeColor="text1"/>
          <w:sz w:val="24"/>
          <w:szCs w:val="24"/>
        </w:rPr>
      </w:pPr>
      <w:r w:rsidRPr="009E63B7">
        <w:rPr>
          <w:rFonts w:ascii="Times New Roman" w:hAnsi="Times New Roman" w:cs="Times New Roman"/>
          <w:b/>
          <w:bCs/>
          <w:color w:val="000000" w:themeColor="text1"/>
          <w:sz w:val="24"/>
          <w:szCs w:val="24"/>
        </w:rPr>
        <w:t>Patient Assessment</w:t>
      </w:r>
    </w:p>
    <w:p w:rsidR="00F5376C" w:rsidRPr="009E63B7" w:rsidRDefault="00F9250F" w:rsidP="009E63B7">
      <w:pPr>
        <w:spacing w:after="0" w:line="480" w:lineRule="auto"/>
        <w:ind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A 17-year-old male who presents with skin rash over his torso and back needs to be assessed carefully to ensure that the treatment options provided are adequate. The decision of the healthcare provider on the choice of treatment is based on the assessment done. Various questions will be asked to ensure that a complete history of the rash is obtained. The questions include:</w:t>
      </w:r>
    </w:p>
    <w:p w:rsidR="00931B46" w:rsidRPr="009E63B7" w:rsidRDefault="00F9250F" w:rsidP="009E63B7">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The chief complaint. This involves a question that will trigger the patient to explain what brings him to the hospital. An example of the question that will be asked is, "why are you here today?"</w:t>
      </w:r>
    </w:p>
    <w:p w:rsidR="00F5376C" w:rsidRPr="009E63B7" w:rsidRDefault="00F9250F" w:rsidP="009E63B7">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The history of the complaint. This includes the onset of the rash, including time and day. The patient will be asked if the onset of the skin rash was gradual or acute. The location and distribution of the rash will be asked. The precipitating and relieving factors of itching will be asked. Other associated symptoms of the skin rash, such as fever, will be asked.</w:t>
      </w:r>
    </w:p>
    <w:p w:rsidR="00F5376C" w:rsidRPr="009E63B7" w:rsidRDefault="00F9250F" w:rsidP="009E63B7">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lastRenderedPageBreak/>
        <w:t xml:space="preserve">Previous history of the complaint. The patient will be asked about </w:t>
      </w:r>
      <w:r w:rsidR="00880A10" w:rsidRPr="009E63B7">
        <w:rPr>
          <w:rFonts w:ascii="Times New Roman" w:hAnsi="Times New Roman" w:cs="Times New Roman"/>
          <w:color w:val="000000" w:themeColor="text1"/>
          <w:sz w:val="24"/>
          <w:szCs w:val="24"/>
        </w:rPr>
        <w:t xml:space="preserve">if the incident had happened before, and for how long. </w:t>
      </w:r>
    </w:p>
    <w:p w:rsidR="00880A10" w:rsidRPr="009E63B7" w:rsidRDefault="00F9250F" w:rsidP="009E63B7">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 xml:space="preserve">Treatment of any skin problem. The patient will be asked if he is on any treatment concerning a current or past skin condition. </w:t>
      </w:r>
    </w:p>
    <w:p w:rsidR="00880A10" w:rsidRPr="009E63B7" w:rsidRDefault="00F9250F" w:rsidP="009E63B7">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 xml:space="preserve">History of contacts. The patient will be asked if he has been in contact with any person who has a skin problem. </w:t>
      </w:r>
    </w:p>
    <w:p w:rsidR="00880A10" w:rsidRPr="009E63B7" w:rsidRDefault="00F9250F" w:rsidP="009E63B7">
      <w:pPr>
        <w:pStyle w:val="ListParagraph"/>
        <w:numPr>
          <w:ilvl w:val="0"/>
          <w:numId w:val="1"/>
        </w:numPr>
        <w:spacing w:after="0" w:line="480" w:lineRule="auto"/>
        <w:ind w:left="0"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Exposure to environmental factors. The patient will be asked about exposure to sun, chemicals, or visits to forest or bushy areas.</w:t>
      </w:r>
    </w:p>
    <w:p w:rsidR="00880A10" w:rsidRPr="009E63B7" w:rsidRDefault="00F9250F" w:rsidP="009E63B7">
      <w:pPr>
        <w:spacing w:after="0" w:line="480" w:lineRule="auto"/>
        <w:ind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 xml:space="preserve">The physical examination elements included in the assessment include inspection of the skin through observation of the skin rash, pattern, and distribution. The description of the shape, margins, secondary change, and skin color in the affected area will be included.  The skin will also be palpated to examine the texture, temperature, and consistency of the affected region. </w:t>
      </w:r>
      <w:r w:rsidR="005E3886" w:rsidRPr="009E63B7">
        <w:rPr>
          <w:rFonts w:ascii="Times New Roman" w:hAnsi="Times New Roman" w:cs="Times New Roman"/>
          <w:color w:val="000000" w:themeColor="text1"/>
          <w:sz w:val="24"/>
          <w:szCs w:val="24"/>
        </w:rPr>
        <w:t xml:space="preserve">The use of KOH will be significant in ensuring that the cells in the affected area are examined through the microscope to assess the presence of bacteria or fungal infection. </w:t>
      </w:r>
    </w:p>
    <w:p w:rsidR="00164811" w:rsidRPr="009E63B7" w:rsidRDefault="00F9250F" w:rsidP="009E63B7">
      <w:pPr>
        <w:spacing w:after="0" w:line="480" w:lineRule="auto"/>
        <w:ind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 xml:space="preserve">Following the SOAP format of the assessment, the subjective pertinent positive data includes the presence of itchy rash over the torso and back and disturbed sleep at night. The subjective pertinent negative data include the lack of pain, fever, malaise, discharge, or bleeding. Under the objective pertinent positive data, there is a rash on the torso, which is </w:t>
      </w:r>
      <w:r w:rsidR="006537AE" w:rsidRPr="009E63B7">
        <w:rPr>
          <w:rFonts w:ascii="Times New Roman" w:hAnsi="Times New Roman" w:cs="Times New Roman"/>
          <w:color w:val="000000" w:themeColor="text1"/>
          <w:sz w:val="24"/>
          <w:szCs w:val="24"/>
        </w:rPr>
        <w:t>symmetrical;</w:t>
      </w:r>
      <w:r w:rsidRPr="009E63B7">
        <w:rPr>
          <w:rFonts w:ascii="Times New Roman" w:hAnsi="Times New Roman" w:cs="Times New Roman"/>
          <w:color w:val="000000" w:themeColor="text1"/>
          <w:sz w:val="24"/>
          <w:szCs w:val="24"/>
        </w:rPr>
        <w:t xml:space="preserve"> the rash is red in color and star-shaped. The objective pertinent negative data includes the absence of discharge. </w:t>
      </w:r>
      <w:r w:rsidR="00E666C7" w:rsidRPr="009E63B7">
        <w:rPr>
          <w:rFonts w:ascii="Times New Roman" w:hAnsi="Times New Roman" w:cs="Times New Roman"/>
          <w:color w:val="000000" w:themeColor="text1"/>
          <w:sz w:val="24"/>
          <w:szCs w:val="24"/>
        </w:rPr>
        <w:t>In the assessment phase, the possible diagnosis for this condition is acute dermatitis. Management plans to enhance the management of the condition that will ensure complete recovery.</w:t>
      </w:r>
    </w:p>
    <w:p w:rsidR="00E666C7" w:rsidRPr="009E63B7" w:rsidRDefault="00F9250F" w:rsidP="009E63B7">
      <w:pPr>
        <w:spacing w:after="0" w:line="480" w:lineRule="auto"/>
        <w:ind w:firstLine="851"/>
        <w:jc w:val="center"/>
        <w:rPr>
          <w:rFonts w:ascii="Times New Roman" w:hAnsi="Times New Roman" w:cs="Times New Roman"/>
          <w:b/>
          <w:bCs/>
          <w:color w:val="000000" w:themeColor="text1"/>
          <w:sz w:val="24"/>
          <w:szCs w:val="24"/>
        </w:rPr>
      </w:pPr>
      <w:r w:rsidRPr="009E63B7">
        <w:rPr>
          <w:rFonts w:ascii="Times New Roman" w:hAnsi="Times New Roman" w:cs="Times New Roman"/>
          <w:b/>
          <w:bCs/>
          <w:color w:val="000000" w:themeColor="text1"/>
          <w:sz w:val="24"/>
          <w:szCs w:val="24"/>
        </w:rPr>
        <w:t>Treatment Plan</w:t>
      </w:r>
    </w:p>
    <w:p w:rsidR="00E666C7" w:rsidRPr="009E63B7" w:rsidRDefault="00F9250F" w:rsidP="009E63B7">
      <w:pPr>
        <w:spacing w:after="0" w:line="480" w:lineRule="auto"/>
        <w:ind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 xml:space="preserve">Pharmacological management of atopic dermatitis includes various medications. The use of OTC medications is among the plan that is involved in the treatment of the patient. The </w:t>
      </w:r>
      <w:r w:rsidRPr="009E63B7">
        <w:rPr>
          <w:rFonts w:ascii="Times New Roman" w:hAnsi="Times New Roman" w:cs="Times New Roman"/>
          <w:color w:val="000000" w:themeColor="text1"/>
          <w:sz w:val="24"/>
          <w:szCs w:val="24"/>
        </w:rPr>
        <w:lastRenderedPageBreak/>
        <w:t>medications include moisturizers such as skin lotions, creams, and ointments. Also, topical steroids such as hydrocortisone and oral antihistamines</w:t>
      </w:r>
      <w:r w:rsidR="00E34006" w:rsidRPr="009E63B7">
        <w:rPr>
          <w:rFonts w:ascii="Times New Roman" w:hAnsi="Times New Roman" w:cs="Times New Roman"/>
          <w:color w:val="000000" w:themeColor="text1"/>
          <w:sz w:val="24"/>
          <w:szCs w:val="24"/>
        </w:rPr>
        <w:t xml:space="preserve"> are significant</w:t>
      </w:r>
      <w:r w:rsidRPr="009E63B7">
        <w:rPr>
          <w:rFonts w:ascii="Times New Roman" w:hAnsi="Times New Roman" w:cs="Times New Roman"/>
          <w:color w:val="000000" w:themeColor="text1"/>
          <w:sz w:val="24"/>
          <w:szCs w:val="24"/>
        </w:rPr>
        <w:t xml:space="preserve">. Prescribed medications </w:t>
      </w:r>
      <w:r w:rsidR="00E34006" w:rsidRPr="009E63B7">
        <w:rPr>
          <w:rFonts w:ascii="Times New Roman" w:hAnsi="Times New Roman" w:cs="Times New Roman"/>
          <w:color w:val="000000" w:themeColor="text1"/>
          <w:sz w:val="24"/>
          <w:szCs w:val="24"/>
        </w:rPr>
        <w:t>include</w:t>
      </w:r>
      <w:r w:rsidRPr="009E63B7">
        <w:rPr>
          <w:rFonts w:ascii="Times New Roman" w:hAnsi="Times New Roman" w:cs="Times New Roman"/>
          <w:color w:val="000000" w:themeColor="text1"/>
          <w:sz w:val="24"/>
          <w:szCs w:val="24"/>
        </w:rPr>
        <w:t xml:space="preserve"> topical steroids, TCIs (Topical Calcineurin Inhibitors), and </w:t>
      </w:r>
      <w:r w:rsidR="00E34006" w:rsidRPr="009E63B7">
        <w:rPr>
          <w:rFonts w:ascii="Times New Roman" w:hAnsi="Times New Roman" w:cs="Times New Roman"/>
          <w:color w:val="000000" w:themeColor="text1"/>
          <w:sz w:val="24"/>
          <w:szCs w:val="24"/>
        </w:rPr>
        <w:t>oral medications such as cyclosporine and interferon (</w:t>
      </w:r>
      <w:r w:rsidR="00E34006" w:rsidRPr="009E63B7">
        <w:rPr>
          <w:rFonts w:ascii="Times New Roman" w:hAnsi="Times New Roman" w:cs="Times New Roman"/>
          <w:color w:val="000000" w:themeColor="text1"/>
          <w:sz w:val="24"/>
          <w:szCs w:val="24"/>
          <w:shd w:val="clear" w:color="auto" w:fill="FFFFFF"/>
        </w:rPr>
        <w:t>Leung &amp;Soeyonggo, 2013)</w:t>
      </w:r>
      <w:r w:rsidR="00E34006" w:rsidRPr="009E63B7">
        <w:rPr>
          <w:rFonts w:ascii="Times New Roman" w:hAnsi="Times New Roman" w:cs="Times New Roman"/>
          <w:color w:val="000000" w:themeColor="text1"/>
          <w:sz w:val="24"/>
          <w:szCs w:val="24"/>
        </w:rPr>
        <w:t>. Also, phototherapy is another significant treatment plan for the patient.</w:t>
      </w:r>
    </w:p>
    <w:p w:rsidR="00E34006" w:rsidRPr="009E63B7" w:rsidRDefault="00F9250F" w:rsidP="009E63B7">
      <w:pPr>
        <w:spacing w:after="0" w:line="480" w:lineRule="auto"/>
        <w:ind w:firstLine="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The diagnostic procedur</w:t>
      </w:r>
      <w:r w:rsidR="001D74E8">
        <w:rPr>
          <w:rFonts w:ascii="Times New Roman" w:hAnsi="Times New Roman" w:cs="Times New Roman"/>
          <w:color w:val="000000" w:themeColor="text1"/>
          <w:sz w:val="24"/>
          <w:szCs w:val="24"/>
        </w:rPr>
        <w:t xml:space="preserve">e that will be used is </w:t>
      </w:r>
      <w:r w:rsidR="006537AE">
        <w:rPr>
          <w:rFonts w:ascii="Times New Roman" w:hAnsi="Times New Roman" w:cs="Times New Roman"/>
          <w:color w:val="000000" w:themeColor="text1"/>
          <w:sz w:val="24"/>
          <w:szCs w:val="24"/>
        </w:rPr>
        <w:t>KOH’s to</w:t>
      </w:r>
      <w:r w:rsidRPr="009E63B7">
        <w:rPr>
          <w:rFonts w:ascii="Times New Roman" w:hAnsi="Times New Roman" w:cs="Times New Roman"/>
          <w:color w:val="000000" w:themeColor="text1"/>
          <w:sz w:val="24"/>
          <w:szCs w:val="24"/>
        </w:rPr>
        <w:t xml:space="preserve"> enhance the assessment of the skin cells to rule out other fungal and bacterial infections. Home remedies and lifestyle change education includes moisturizing the skin, adherence to medication, avoiding scratching of the skin, covering the affected area with a bandage, and taking a warm bath. The patient will be followed up to ensure that he is recovering from the condition following the treatment.</w:t>
      </w: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Default="009E63B7" w:rsidP="009E63B7">
      <w:pPr>
        <w:spacing w:after="0" w:line="480" w:lineRule="auto"/>
        <w:ind w:firstLine="851"/>
        <w:rPr>
          <w:rFonts w:ascii="Times New Roman" w:hAnsi="Times New Roman" w:cs="Times New Roman"/>
          <w:color w:val="000000" w:themeColor="text1"/>
          <w:sz w:val="24"/>
          <w:szCs w:val="24"/>
        </w:rPr>
      </w:pPr>
    </w:p>
    <w:p w:rsidR="009E63B7" w:rsidRPr="009E63B7" w:rsidRDefault="00F9250F" w:rsidP="009E63B7">
      <w:pPr>
        <w:spacing w:after="0" w:line="480" w:lineRule="auto"/>
        <w:ind w:firstLine="851"/>
        <w:jc w:val="center"/>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rPr>
        <w:t>References</w:t>
      </w:r>
    </w:p>
    <w:p w:rsidR="009E63B7" w:rsidRPr="009E63B7" w:rsidRDefault="00F9250F" w:rsidP="009E63B7">
      <w:pPr>
        <w:spacing w:after="0" w:line="480" w:lineRule="auto"/>
        <w:ind w:left="851" w:hanging="851"/>
        <w:rPr>
          <w:rFonts w:ascii="Times New Roman" w:hAnsi="Times New Roman" w:cs="Times New Roman"/>
          <w:color w:val="000000" w:themeColor="text1"/>
          <w:sz w:val="24"/>
          <w:szCs w:val="24"/>
          <w:shd w:val="clear" w:color="auto" w:fill="FFFFFF"/>
        </w:rPr>
      </w:pPr>
      <w:r w:rsidRPr="009E63B7">
        <w:rPr>
          <w:rFonts w:ascii="Times New Roman" w:hAnsi="Times New Roman" w:cs="Times New Roman"/>
          <w:color w:val="000000" w:themeColor="text1"/>
          <w:sz w:val="24"/>
          <w:szCs w:val="24"/>
          <w:shd w:val="clear" w:color="auto" w:fill="FFFFFF"/>
        </w:rPr>
        <w:t>Kapur, S., Watson, W., &amp;Carr, S. (2018). Atopic dermatitis. </w:t>
      </w:r>
      <w:r w:rsidRPr="009E63B7">
        <w:rPr>
          <w:rFonts w:ascii="Times New Roman" w:hAnsi="Times New Roman" w:cs="Times New Roman"/>
          <w:i/>
          <w:iCs/>
          <w:color w:val="000000" w:themeColor="text1"/>
          <w:sz w:val="24"/>
          <w:szCs w:val="24"/>
          <w:shd w:val="clear" w:color="auto" w:fill="FFFFFF"/>
        </w:rPr>
        <w:t>Allergy, asthma, and clinical immunology: official journal of the Canadian Society of Allergy and Clinical Immunology</w:t>
      </w:r>
      <w:r w:rsidRPr="009E63B7">
        <w:rPr>
          <w:rFonts w:ascii="Times New Roman" w:hAnsi="Times New Roman" w:cs="Times New Roman"/>
          <w:color w:val="000000" w:themeColor="text1"/>
          <w:sz w:val="24"/>
          <w:szCs w:val="24"/>
          <w:shd w:val="clear" w:color="auto" w:fill="FFFFFF"/>
        </w:rPr>
        <w:t>, </w:t>
      </w:r>
      <w:r w:rsidRPr="009E63B7">
        <w:rPr>
          <w:rFonts w:ascii="Times New Roman" w:hAnsi="Times New Roman" w:cs="Times New Roman"/>
          <w:i/>
          <w:iCs/>
          <w:color w:val="000000" w:themeColor="text1"/>
          <w:sz w:val="24"/>
          <w:szCs w:val="24"/>
          <w:shd w:val="clear" w:color="auto" w:fill="FFFFFF"/>
        </w:rPr>
        <w:t>14</w:t>
      </w:r>
      <w:r w:rsidRPr="009E63B7">
        <w:rPr>
          <w:rFonts w:ascii="Times New Roman" w:hAnsi="Times New Roman" w:cs="Times New Roman"/>
          <w:color w:val="000000" w:themeColor="text1"/>
          <w:sz w:val="24"/>
          <w:szCs w:val="24"/>
          <w:shd w:val="clear" w:color="auto" w:fill="FFFFFF"/>
        </w:rPr>
        <w:t xml:space="preserve">(Suppl 2), 52. </w:t>
      </w:r>
      <w:hyperlink r:id="rId7" w:history="1">
        <w:r w:rsidRPr="009E63B7">
          <w:rPr>
            <w:rStyle w:val="Hyperlink"/>
            <w:rFonts w:ascii="Times New Roman" w:hAnsi="Times New Roman" w:cs="Times New Roman"/>
            <w:color w:val="000000" w:themeColor="text1"/>
            <w:sz w:val="24"/>
            <w:szCs w:val="24"/>
            <w:u w:val="none"/>
            <w:shd w:val="clear" w:color="auto" w:fill="FFFFFF"/>
          </w:rPr>
          <w:t>https://doi.org/10.1186/s13223-018-0281-6</w:t>
        </w:r>
      </w:hyperlink>
    </w:p>
    <w:p w:rsidR="009E63B7" w:rsidRPr="009E63B7" w:rsidRDefault="00F9250F" w:rsidP="009E63B7">
      <w:pPr>
        <w:spacing w:after="0" w:line="480" w:lineRule="auto"/>
        <w:ind w:left="851" w:hanging="851"/>
        <w:rPr>
          <w:rFonts w:ascii="Times New Roman" w:hAnsi="Times New Roman" w:cs="Times New Roman"/>
          <w:color w:val="000000" w:themeColor="text1"/>
          <w:sz w:val="24"/>
          <w:szCs w:val="24"/>
        </w:rPr>
      </w:pPr>
      <w:r w:rsidRPr="009E63B7">
        <w:rPr>
          <w:rFonts w:ascii="Times New Roman" w:hAnsi="Times New Roman" w:cs="Times New Roman"/>
          <w:color w:val="000000" w:themeColor="text1"/>
          <w:sz w:val="24"/>
          <w:szCs w:val="24"/>
          <w:shd w:val="clear" w:color="auto" w:fill="FFFFFF"/>
        </w:rPr>
        <w:t>Leung, L., &amp;Soeyonggo, T. (2013). Approach to Patient with a Generalized Rash. </w:t>
      </w:r>
      <w:r w:rsidRPr="009E63B7">
        <w:rPr>
          <w:rFonts w:ascii="Times New Roman" w:hAnsi="Times New Roman" w:cs="Times New Roman"/>
          <w:i/>
          <w:iCs/>
          <w:color w:val="000000" w:themeColor="text1"/>
          <w:sz w:val="24"/>
          <w:szCs w:val="24"/>
          <w:shd w:val="clear" w:color="auto" w:fill="FFFFFF"/>
        </w:rPr>
        <w:t>Journal of family medicine and primary care</w:t>
      </w:r>
      <w:r w:rsidRPr="009E63B7">
        <w:rPr>
          <w:rFonts w:ascii="Times New Roman" w:hAnsi="Times New Roman" w:cs="Times New Roman"/>
          <w:color w:val="000000" w:themeColor="text1"/>
          <w:sz w:val="24"/>
          <w:szCs w:val="24"/>
          <w:shd w:val="clear" w:color="auto" w:fill="FFFFFF"/>
        </w:rPr>
        <w:t>, </w:t>
      </w:r>
      <w:r w:rsidRPr="009E63B7">
        <w:rPr>
          <w:rFonts w:ascii="Times New Roman" w:hAnsi="Times New Roman" w:cs="Times New Roman"/>
          <w:i/>
          <w:iCs/>
          <w:color w:val="000000" w:themeColor="text1"/>
          <w:sz w:val="24"/>
          <w:szCs w:val="24"/>
          <w:shd w:val="clear" w:color="auto" w:fill="FFFFFF"/>
        </w:rPr>
        <w:t>2</w:t>
      </w:r>
      <w:r w:rsidRPr="009E63B7">
        <w:rPr>
          <w:rFonts w:ascii="Times New Roman" w:hAnsi="Times New Roman" w:cs="Times New Roman"/>
          <w:color w:val="000000" w:themeColor="text1"/>
          <w:sz w:val="24"/>
          <w:szCs w:val="24"/>
          <w:shd w:val="clear" w:color="auto" w:fill="FFFFFF"/>
        </w:rPr>
        <w:t>(4), 311–314. https://doi.org/10.4103/2249-4863.123775</w:t>
      </w:r>
    </w:p>
    <w:sectPr w:rsidR="009E63B7" w:rsidRPr="009E63B7" w:rsidSect="009E63B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3B4" w:rsidRDefault="00CE73B4">
      <w:pPr>
        <w:spacing w:after="0" w:line="240" w:lineRule="auto"/>
      </w:pPr>
      <w:r>
        <w:separator/>
      </w:r>
    </w:p>
  </w:endnote>
  <w:endnote w:type="continuationSeparator" w:id="1">
    <w:p w:rsidR="00CE73B4" w:rsidRDefault="00CE73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3B4" w:rsidRDefault="00CE73B4">
      <w:pPr>
        <w:spacing w:after="0" w:line="240" w:lineRule="auto"/>
      </w:pPr>
      <w:r>
        <w:separator/>
      </w:r>
    </w:p>
  </w:footnote>
  <w:footnote w:type="continuationSeparator" w:id="1">
    <w:p w:rsidR="00CE73B4" w:rsidRDefault="00CE73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B7" w:rsidRPr="009E63B7" w:rsidRDefault="00F9250F" w:rsidP="009E63B7">
    <w:pPr>
      <w:pStyle w:val="Header"/>
      <w:rPr>
        <w:rFonts w:ascii="Times New Roman" w:hAnsi="Times New Roman" w:cs="Times New Roman"/>
        <w:sz w:val="24"/>
        <w:szCs w:val="24"/>
      </w:rPr>
    </w:pPr>
    <w:r w:rsidRPr="009E63B7">
      <w:rPr>
        <w:rFonts w:ascii="Times New Roman" w:hAnsi="Times New Roman" w:cs="Times New Roman"/>
        <w:sz w:val="24"/>
        <w:szCs w:val="24"/>
      </w:rPr>
      <w:t>CHOICE #1</w:t>
    </w:r>
    <w:sdt>
      <w:sdtPr>
        <w:rPr>
          <w:rFonts w:ascii="Times New Roman" w:hAnsi="Times New Roman" w:cs="Times New Roman"/>
          <w:sz w:val="24"/>
          <w:szCs w:val="24"/>
        </w:rPr>
        <w:id w:val="1601838119"/>
        <w:docPartObj>
          <w:docPartGallery w:val="Page Numbers (Top of Page)"/>
          <w:docPartUnique/>
        </w:docPartObj>
      </w:sdtPr>
      <w:sdtEndPr>
        <w:rPr>
          <w:noProof/>
        </w:rPr>
      </w:sdtEndPr>
      <w:sdtContent>
        <w:r w:rsidR="001D74E8">
          <w:rPr>
            <w:rFonts w:ascii="Times New Roman" w:hAnsi="Times New Roman" w:cs="Times New Roman"/>
            <w:sz w:val="24"/>
            <w:szCs w:val="24"/>
          </w:rPr>
          <w:t xml:space="preserve">                                                                                                                               </w:t>
        </w:r>
        <w:r w:rsidR="005F730B" w:rsidRPr="009E63B7">
          <w:rPr>
            <w:rFonts w:ascii="Times New Roman" w:hAnsi="Times New Roman" w:cs="Times New Roman"/>
            <w:sz w:val="24"/>
            <w:szCs w:val="24"/>
          </w:rPr>
          <w:fldChar w:fldCharType="begin"/>
        </w:r>
        <w:r w:rsidRPr="009E63B7">
          <w:rPr>
            <w:rFonts w:ascii="Times New Roman" w:hAnsi="Times New Roman" w:cs="Times New Roman"/>
            <w:sz w:val="24"/>
            <w:szCs w:val="24"/>
          </w:rPr>
          <w:instrText xml:space="preserve"> PAGE   \* MERGEFORMAT </w:instrText>
        </w:r>
        <w:r w:rsidR="005F730B" w:rsidRPr="009E63B7">
          <w:rPr>
            <w:rFonts w:ascii="Times New Roman" w:hAnsi="Times New Roman" w:cs="Times New Roman"/>
            <w:sz w:val="24"/>
            <w:szCs w:val="24"/>
          </w:rPr>
          <w:fldChar w:fldCharType="separate"/>
        </w:r>
        <w:r w:rsidR="006537AE">
          <w:rPr>
            <w:rFonts w:ascii="Times New Roman" w:hAnsi="Times New Roman" w:cs="Times New Roman"/>
            <w:noProof/>
            <w:sz w:val="24"/>
            <w:szCs w:val="24"/>
          </w:rPr>
          <w:t>5</w:t>
        </w:r>
        <w:r w:rsidR="005F730B" w:rsidRPr="009E63B7">
          <w:rPr>
            <w:rFonts w:ascii="Times New Roman" w:hAnsi="Times New Roman" w:cs="Times New Roman"/>
            <w:noProof/>
            <w:sz w:val="24"/>
            <w:szCs w:val="24"/>
          </w:rPr>
          <w:fldChar w:fldCharType="end"/>
        </w:r>
      </w:sdtContent>
    </w:sdt>
  </w:p>
  <w:p w:rsidR="009E63B7" w:rsidRDefault="009E63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B7" w:rsidRPr="009E63B7" w:rsidRDefault="00F9250F" w:rsidP="009E63B7">
    <w:pPr>
      <w:pStyle w:val="Header"/>
      <w:rPr>
        <w:rFonts w:ascii="Times New Roman" w:hAnsi="Times New Roman" w:cs="Times New Roman"/>
        <w:sz w:val="24"/>
        <w:szCs w:val="24"/>
      </w:rPr>
    </w:pPr>
    <w:r w:rsidRPr="009E63B7">
      <w:rPr>
        <w:rFonts w:ascii="Times New Roman" w:hAnsi="Times New Roman" w:cs="Times New Roman"/>
        <w:sz w:val="24"/>
        <w:szCs w:val="24"/>
      </w:rPr>
      <w:t>Running head: CHOICE #1</w:t>
    </w:r>
    <w:sdt>
      <w:sdtPr>
        <w:rPr>
          <w:rFonts w:ascii="Times New Roman" w:hAnsi="Times New Roman" w:cs="Times New Roman"/>
          <w:sz w:val="24"/>
          <w:szCs w:val="24"/>
        </w:rPr>
        <w:id w:val="-474065783"/>
        <w:docPartObj>
          <w:docPartGallery w:val="Page Numbers (Top of Page)"/>
          <w:docPartUnique/>
        </w:docPartObj>
      </w:sdtPr>
      <w:sdtEndPr>
        <w:rPr>
          <w:noProof/>
        </w:rPr>
      </w:sdtEndPr>
      <w:sdtContent>
        <w:r w:rsidR="001D74E8">
          <w:rPr>
            <w:rFonts w:ascii="Times New Roman" w:hAnsi="Times New Roman" w:cs="Times New Roman"/>
            <w:sz w:val="24"/>
            <w:szCs w:val="24"/>
          </w:rPr>
          <w:t xml:space="preserve">                                                                                                 </w:t>
        </w:r>
        <w:r w:rsidR="005F730B" w:rsidRPr="009E63B7">
          <w:rPr>
            <w:rFonts w:ascii="Times New Roman" w:hAnsi="Times New Roman" w:cs="Times New Roman"/>
            <w:sz w:val="24"/>
            <w:szCs w:val="24"/>
          </w:rPr>
          <w:fldChar w:fldCharType="begin"/>
        </w:r>
        <w:r w:rsidRPr="009E63B7">
          <w:rPr>
            <w:rFonts w:ascii="Times New Roman" w:hAnsi="Times New Roman" w:cs="Times New Roman"/>
            <w:sz w:val="24"/>
            <w:szCs w:val="24"/>
          </w:rPr>
          <w:instrText xml:space="preserve"> PAGE   \* MERGEFORMAT </w:instrText>
        </w:r>
        <w:r w:rsidR="005F730B" w:rsidRPr="009E63B7">
          <w:rPr>
            <w:rFonts w:ascii="Times New Roman" w:hAnsi="Times New Roman" w:cs="Times New Roman"/>
            <w:sz w:val="24"/>
            <w:szCs w:val="24"/>
          </w:rPr>
          <w:fldChar w:fldCharType="separate"/>
        </w:r>
        <w:r w:rsidR="006537AE">
          <w:rPr>
            <w:rFonts w:ascii="Times New Roman" w:hAnsi="Times New Roman" w:cs="Times New Roman"/>
            <w:noProof/>
            <w:sz w:val="24"/>
            <w:szCs w:val="24"/>
          </w:rPr>
          <w:t>1</w:t>
        </w:r>
        <w:r w:rsidR="005F730B" w:rsidRPr="009E63B7">
          <w:rPr>
            <w:rFonts w:ascii="Times New Roman" w:hAnsi="Times New Roman" w:cs="Times New Roman"/>
            <w:noProof/>
            <w:sz w:val="24"/>
            <w:szCs w:val="24"/>
          </w:rPr>
          <w:fldChar w:fldCharType="end"/>
        </w:r>
      </w:sdtContent>
    </w:sdt>
  </w:p>
  <w:p w:rsidR="009E63B7" w:rsidRDefault="009E63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43B9F"/>
    <w:multiLevelType w:val="hybridMultilevel"/>
    <w:tmpl w:val="1598DD7C"/>
    <w:lvl w:ilvl="0" w:tplc="4FD2BE80">
      <w:start w:val="1"/>
      <w:numFmt w:val="decimal"/>
      <w:lvlText w:val="%1."/>
      <w:lvlJc w:val="left"/>
      <w:pPr>
        <w:ind w:left="405" w:hanging="360"/>
      </w:pPr>
      <w:rPr>
        <w:rFonts w:hint="default"/>
      </w:rPr>
    </w:lvl>
    <w:lvl w:ilvl="1" w:tplc="C92292AC" w:tentative="1">
      <w:start w:val="1"/>
      <w:numFmt w:val="lowerLetter"/>
      <w:lvlText w:val="%2."/>
      <w:lvlJc w:val="left"/>
      <w:pPr>
        <w:ind w:left="1125" w:hanging="360"/>
      </w:pPr>
    </w:lvl>
    <w:lvl w:ilvl="2" w:tplc="5504DE26" w:tentative="1">
      <w:start w:val="1"/>
      <w:numFmt w:val="lowerRoman"/>
      <w:lvlText w:val="%3."/>
      <w:lvlJc w:val="right"/>
      <w:pPr>
        <w:ind w:left="1845" w:hanging="180"/>
      </w:pPr>
    </w:lvl>
    <w:lvl w:ilvl="3" w:tplc="FCC49154" w:tentative="1">
      <w:start w:val="1"/>
      <w:numFmt w:val="decimal"/>
      <w:lvlText w:val="%4."/>
      <w:lvlJc w:val="left"/>
      <w:pPr>
        <w:ind w:left="2565" w:hanging="360"/>
      </w:pPr>
    </w:lvl>
    <w:lvl w:ilvl="4" w:tplc="CD8E776A" w:tentative="1">
      <w:start w:val="1"/>
      <w:numFmt w:val="lowerLetter"/>
      <w:lvlText w:val="%5."/>
      <w:lvlJc w:val="left"/>
      <w:pPr>
        <w:ind w:left="3285" w:hanging="360"/>
      </w:pPr>
    </w:lvl>
    <w:lvl w:ilvl="5" w:tplc="A9C80C8C" w:tentative="1">
      <w:start w:val="1"/>
      <w:numFmt w:val="lowerRoman"/>
      <w:lvlText w:val="%6."/>
      <w:lvlJc w:val="right"/>
      <w:pPr>
        <w:ind w:left="4005" w:hanging="180"/>
      </w:pPr>
    </w:lvl>
    <w:lvl w:ilvl="6" w:tplc="ACF834BE" w:tentative="1">
      <w:start w:val="1"/>
      <w:numFmt w:val="decimal"/>
      <w:lvlText w:val="%7."/>
      <w:lvlJc w:val="left"/>
      <w:pPr>
        <w:ind w:left="4725" w:hanging="360"/>
      </w:pPr>
    </w:lvl>
    <w:lvl w:ilvl="7" w:tplc="A3DA860C" w:tentative="1">
      <w:start w:val="1"/>
      <w:numFmt w:val="lowerLetter"/>
      <w:lvlText w:val="%8."/>
      <w:lvlJc w:val="left"/>
      <w:pPr>
        <w:ind w:left="5445" w:hanging="360"/>
      </w:pPr>
    </w:lvl>
    <w:lvl w:ilvl="8" w:tplc="D9BA4CA8" w:tentative="1">
      <w:start w:val="1"/>
      <w:numFmt w:val="lowerRoman"/>
      <w:lvlText w:val="%9."/>
      <w:lvlJc w:val="right"/>
      <w:pPr>
        <w:ind w:left="616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1B46"/>
    <w:rsid w:val="000640B3"/>
    <w:rsid w:val="00164811"/>
    <w:rsid w:val="001D74E8"/>
    <w:rsid w:val="003D0470"/>
    <w:rsid w:val="005E3886"/>
    <w:rsid w:val="005F730B"/>
    <w:rsid w:val="006537AE"/>
    <w:rsid w:val="00880A10"/>
    <w:rsid w:val="008E227A"/>
    <w:rsid w:val="00922BAB"/>
    <w:rsid w:val="00931B46"/>
    <w:rsid w:val="009E63B7"/>
    <w:rsid w:val="00B544CA"/>
    <w:rsid w:val="00CE73B4"/>
    <w:rsid w:val="00E34006"/>
    <w:rsid w:val="00E666C7"/>
    <w:rsid w:val="00F5376C"/>
    <w:rsid w:val="00F7133F"/>
    <w:rsid w:val="00F925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76C"/>
    <w:pPr>
      <w:ind w:left="720"/>
      <w:contextualSpacing/>
    </w:pPr>
  </w:style>
  <w:style w:type="character" w:styleId="Hyperlink">
    <w:name w:val="Hyperlink"/>
    <w:basedOn w:val="DefaultParagraphFont"/>
    <w:uiPriority w:val="99"/>
    <w:unhideWhenUsed/>
    <w:rsid w:val="00E34006"/>
    <w:rPr>
      <w:color w:val="0563C1" w:themeColor="hyperlink"/>
      <w:u w:val="single"/>
    </w:rPr>
  </w:style>
  <w:style w:type="character" w:customStyle="1" w:styleId="UnresolvedMention1">
    <w:name w:val="Unresolved Mention1"/>
    <w:basedOn w:val="DefaultParagraphFont"/>
    <w:uiPriority w:val="99"/>
    <w:semiHidden/>
    <w:unhideWhenUsed/>
    <w:rsid w:val="00E34006"/>
    <w:rPr>
      <w:color w:val="605E5C"/>
      <w:shd w:val="clear" w:color="auto" w:fill="E1DFDD"/>
    </w:rPr>
  </w:style>
  <w:style w:type="paragraph" w:styleId="Header">
    <w:name w:val="header"/>
    <w:basedOn w:val="Normal"/>
    <w:link w:val="HeaderChar"/>
    <w:uiPriority w:val="99"/>
    <w:unhideWhenUsed/>
    <w:rsid w:val="009E63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3B7"/>
    <w:rPr>
      <w:lang w:val="en-US"/>
    </w:rPr>
  </w:style>
  <w:style w:type="paragraph" w:styleId="Footer">
    <w:name w:val="footer"/>
    <w:basedOn w:val="Normal"/>
    <w:link w:val="FooterChar"/>
    <w:uiPriority w:val="99"/>
    <w:unhideWhenUsed/>
    <w:rsid w:val="009E63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3B7"/>
    <w:rPr>
      <w:lang w:val="en-US"/>
    </w:rPr>
  </w:style>
  <w:style w:type="character" w:styleId="PlaceholderText">
    <w:name w:val="Placeholder Text"/>
    <w:basedOn w:val="DefaultParagraphFont"/>
    <w:uiPriority w:val="99"/>
    <w:semiHidden/>
    <w:rsid w:val="009E63B7"/>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86/s13223-018-028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2020-07-21T19:54:00Z</dcterms:created>
  <dcterms:modified xsi:type="dcterms:W3CDTF">2020-07-21T19:54:00Z</dcterms:modified>
</cp:coreProperties>
</file>